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5C4" w:rsidRDefault="00210556" w:rsidP="0079337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651760" cy="913130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9" t="-265" r="-99" b="-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5C4" w:rsidRDefault="00210556" w:rsidP="00793374">
      <w:pPr>
        <w:spacing w:after="12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Projekt podpory hráčů L</w:t>
      </w:r>
      <w:r w:rsidR="00793374">
        <w:rPr>
          <w:b/>
          <w:bCs/>
          <w:sz w:val="32"/>
          <w:szCs w:val="32"/>
        </w:rPr>
        <w:t>istiny talentů KŠSV</w:t>
      </w:r>
      <w:r>
        <w:rPr>
          <w:b/>
          <w:bCs/>
          <w:sz w:val="32"/>
          <w:szCs w:val="32"/>
        </w:rPr>
        <w:t xml:space="preserve"> při letních turnajích 2024</w:t>
      </w:r>
      <w:r w:rsidR="00793374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na trenérskou přípravu</w:t>
      </w:r>
    </w:p>
    <w:p w:rsidR="004815C4" w:rsidRDefault="004815C4" w:rsidP="00793374">
      <w:pPr>
        <w:spacing w:after="120" w:line="240" w:lineRule="auto"/>
        <w:rPr>
          <w:sz w:val="24"/>
          <w:szCs w:val="24"/>
        </w:rPr>
      </w:pPr>
    </w:p>
    <w:p w:rsidR="00793374" w:rsidRPr="00793374" w:rsidRDefault="00210556" w:rsidP="00B51615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podpory letních turnajů se týká všech hráčů z Listiny </w:t>
      </w:r>
      <w:r w:rsidR="00793374">
        <w:rPr>
          <w:sz w:val="24"/>
          <w:szCs w:val="24"/>
        </w:rPr>
        <w:t>t</w:t>
      </w:r>
      <w:r>
        <w:rPr>
          <w:sz w:val="24"/>
          <w:szCs w:val="24"/>
        </w:rPr>
        <w:t xml:space="preserve">alentů </w:t>
      </w:r>
      <w:r w:rsidR="00793374">
        <w:rPr>
          <w:sz w:val="24"/>
          <w:szCs w:val="24"/>
        </w:rPr>
        <w:t xml:space="preserve">KŠSV </w:t>
      </w:r>
      <w:r>
        <w:rPr>
          <w:sz w:val="24"/>
          <w:szCs w:val="24"/>
        </w:rPr>
        <w:t>se získaným kritériem skupiny A,</w:t>
      </w:r>
      <w:r w:rsidR="00793374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920F2">
        <w:rPr>
          <w:sz w:val="24"/>
          <w:szCs w:val="24"/>
        </w:rPr>
        <w:t>,</w:t>
      </w:r>
      <w:r>
        <w:rPr>
          <w:sz w:val="24"/>
          <w:szCs w:val="24"/>
        </w:rPr>
        <w:t xml:space="preserve"> C</w:t>
      </w:r>
      <w:r w:rsidR="00D32464">
        <w:rPr>
          <w:sz w:val="24"/>
          <w:szCs w:val="24"/>
        </w:rPr>
        <w:t>,</w:t>
      </w:r>
      <w:r w:rsidR="006920F2">
        <w:rPr>
          <w:sz w:val="24"/>
          <w:szCs w:val="24"/>
        </w:rPr>
        <w:t xml:space="preserve"> D a J,</w:t>
      </w:r>
      <w:r w:rsidR="00D32464">
        <w:rPr>
          <w:sz w:val="24"/>
          <w:szCs w:val="24"/>
        </w:rPr>
        <w:t xml:space="preserve"> kteří o ni zažádali na základě výzvy ŠCTM v KV prostřednictvím </w:t>
      </w:r>
      <w:r w:rsidR="00B51615">
        <w:rPr>
          <w:sz w:val="24"/>
          <w:szCs w:val="24"/>
        </w:rPr>
        <w:t>e-</w:t>
      </w:r>
      <w:r w:rsidR="00D32464">
        <w:rPr>
          <w:sz w:val="24"/>
          <w:szCs w:val="24"/>
        </w:rPr>
        <w:t>mailu a online dotazníku vypsané do 31. 5. 2024</w:t>
      </w:r>
      <w:r>
        <w:rPr>
          <w:sz w:val="24"/>
          <w:szCs w:val="24"/>
        </w:rPr>
        <w:t>.</w:t>
      </w:r>
    </w:p>
    <w:p w:rsidR="00793374" w:rsidRDefault="00210556" w:rsidP="00B51615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Podpora se týká turnajů jednotlivců hraných vážným tempem</w:t>
      </w:r>
      <w:r w:rsidR="00793374">
        <w:rPr>
          <w:sz w:val="24"/>
          <w:szCs w:val="24"/>
        </w:rPr>
        <w:t>:</w:t>
      </w:r>
    </w:p>
    <w:p w:rsidR="00793374" w:rsidRPr="00D32464" w:rsidRDefault="00210556" w:rsidP="00B51615">
      <w:pPr>
        <w:pStyle w:val="Odstavecseseznamem"/>
        <w:numPr>
          <w:ilvl w:val="1"/>
          <w:numId w:val="4"/>
        </w:numPr>
        <w:spacing w:before="120" w:after="120" w:line="240" w:lineRule="auto"/>
        <w:ind w:hanging="357"/>
        <w:contextualSpacing w:val="0"/>
        <w:jc w:val="both"/>
        <w:rPr>
          <w:b/>
          <w:sz w:val="24"/>
          <w:szCs w:val="24"/>
          <w:highlight w:val="green"/>
        </w:rPr>
      </w:pPr>
      <w:r w:rsidRPr="00D32464">
        <w:rPr>
          <w:b/>
          <w:sz w:val="24"/>
          <w:szCs w:val="24"/>
          <w:highlight w:val="green"/>
        </w:rPr>
        <w:t>na 9 kol</w:t>
      </w:r>
      <w:r w:rsidR="00793374" w:rsidRPr="00D32464">
        <w:rPr>
          <w:b/>
          <w:sz w:val="24"/>
          <w:szCs w:val="24"/>
          <w:highlight w:val="green"/>
        </w:rPr>
        <w:t>,</w:t>
      </w:r>
      <w:r w:rsidRPr="00D32464">
        <w:rPr>
          <w:b/>
          <w:sz w:val="24"/>
          <w:szCs w:val="24"/>
          <w:highlight w:val="green"/>
        </w:rPr>
        <w:t xml:space="preserve"> 2x</w:t>
      </w:r>
      <w:r w:rsidR="00793374" w:rsidRPr="00D32464">
        <w:rPr>
          <w:b/>
          <w:sz w:val="24"/>
          <w:szCs w:val="24"/>
          <w:highlight w:val="green"/>
        </w:rPr>
        <w:t xml:space="preserve"> </w:t>
      </w:r>
      <w:r w:rsidRPr="00D32464">
        <w:rPr>
          <w:b/>
          <w:sz w:val="24"/>
          <w:szCs w:val="24"/>
          <w:highlight w:val="green"/>
        </w:rPr>
        <w:t>90 min</w:t>
      </w:r>
      <w:r w:rsidR="00B51615">
        <w:rPr>
          <w:b/>
          <w:sz w:val="24"/>
          <w:szCs w:val="24"/>
          <w:highlight w:val="green"/>
        </w:rPr>
        <w:t>.</w:t>
      </w:r>
      <w:r w:rsidRPr="00D32464">
        <w:rPr>
          <w:b/>
          <w:sz w:val="24"/>
          <w:szCs w:val="24"/>
          <w:highlight w:val="green"/>
        </w:rPr>
        <w:t xml:space="preserve"> / 40 tahů +</w:t>
      </w:r>
      <w:r w:rsidR="00B51615">
        <w:rPr>
          <w:b/>
          <w:sz w:val="24"/>
          <w:szCs w:val="24"/>
          <w:highlight w:val="green"/>
        </w:rPr>
        <w:t xml:space="preserve"> </w:t>
      </w:r>
      <w:r w:rsidRPr="00D32464">
        <w:rPr>
          <w:b/>
          <w:sz w:val="24"/>
          <w:szCs w:val="24"/>
          <w:highlight w:val="green"/>
        </w:rPr>
        <w:t>30 min</w:t>
      </w:r>
      <w:r w:rsidR="00B51615">
        <w:rPr>
          <w:b/>
          <w:sz w:val="24"/>
          <w:szCs w:val="24"/>
          <w:highlight w:val="green"/>
        </w:rPr>
        <w:t>.</w:t>
      </w:r>
      <w:r w:rsidRPr="00D32464">
        <w:rPr>
          <w:b/>
          <w:sz w:val="24"/>
          <w:szCs w:val="24"/>
          <w:highlight w:val="green"/>
        </w:rPr>
        <w:t xml:space="preserve"> do konce partie s přídavkem </w:t>
      </w:r>
      <w:r w:rsidR="00793374" w:rsidRPr="00D32464">
        <w:rPr>
          <w:b/>
          <w:sz w:val="24"/>
          <w:szCs w:val="24"/>
          <w:highlight w:val="green"/>
        </w:rPr>
        <w:t xml:space="preserve">30 s </w:t>
      </w:r>
      <w:r w:rsidRPr="00D32464">
        <w:rPr>
          <w:b/>
          <w:sz w:val="24"/>
          <w:szCs w:val="24"/>
          <w:highlight w:val="green"/>
        </w:rPr>
        <w:t xml:space="preserve">/tah </w:t>
      </w:r>
    </w:p>
    <w:p w:rsidR="00793374" w:rsidRPr="00D32464" w:rsidRDefault="00793374" w:rsidP="00B51615">
      <w:pPr>
        <w:pStyle w:val="Odstavecseseznamem"/>
        <w:numPr>
          <w:ilvl w:val="1"/>
          <w:numId w:val="4"/>
        </w:numPr>
        <w:spacing w:before="120" w:after="120" w:line="240" w:lineRule="auto"/>
        <w:ind w:hanging="357"/>
        <w:contextualSpacing w:val="0"/>
        <w:jc w:val="both"/>
        <w:rPr>
          <w:b/>
          <w:sz w:val="24"/>
          <w:szCs w:val="24"/>
          <w:highlight w:val="green"/>
        </w:rPr>
      </w:pPr>
      <w:r w:rsidRPr="00D32464">
        <w:rPr>
          <w:b/>
          <w:sz w:val="24"/>
          <w:szCs w:val="24"/>
          <w:highlight w:val="green"/>
        </w:rPr>
        <w:t>v</w:t>
      </w:r>
      <w:r w:rsidR="00210556" w:rsidRPr="00D32464">
        <w:rPr>
          <w:b/>
          <w:sz w:val="24"/>
          <w:szCs w:val="24"/>
          <w:highlight w:val="green"/>
        </w:rPr>
        <w:t xml:space="preserve"> rozmezí </w:t>
      </w:r>
      <w:r w:rsidRPr="00D32464">
        <w:rPr>
          <w:b/>
          <w:sz w:val="24"/>
          <w:szCs w:val="24"/>
          <w:highlight w:val="green"/>
        </w:rPr>
        <w:t>od června do září</w:t>
      </w:r>
      <w:r w:rsidR="00210556" w:rsidRPr="00D32464">
        <w:rPr>
          <w:b/>
          <w:sz w:val="24"/>
          <w:szCs w:val="24"/>
          <w:highlight w:val="green"/>
        </w:rPr>
        <w:t xml:space="preserve"> 2024</w:t>
      </w:r>
    </w:p>
    <w:p w:rsidR="004815C4" w:rsidRPr="00D32464" w:rsidRDefault="00210556" w:rsidP="00B51615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b/>
          <w:sz w:val="24"/>
          <w:szCs w:val="24"/>
          <w:highlight w:val="yellow"/>
        </w:rPr>
      </w:pPr>
      <w:r w:rsidRPr="00D32464">
        <w:rPr>
          <w:b/>
          <w:sz w:val="24"/>
          <w:szCs w:val="24"/>
          <w:highlight w:val="yellow"/>
        </w:rPr>
        <w:t xml:space="preserve">Každý hráč má právo na podporu pouze na </w:t>
      </w:r>
      <w:r w:rsidRPr="00D32464">
        <w:rPr>
          <w:b/>
          <w:sz w:val="24"/>
          <w:szCs w:val="24"/>
          <w:highlight w:val="yellow"/>
          <w:u w:val="single"/>
        </w:rPr>
        <w:t>jednom</w:t>
      </w:r>
      <w:r w:rsidRPr="00D32464">
        <w:rPr>
          <w:b/>
          <w:sz w:val="24"/>
          <w:szCs w:val="24"/>
          <w:highlight w:val="yellow"/>
        </w:rPr>
        <w:t xml:space="preserve"> turnaji.</w:t>
      </w:r>
    </w:p>
    <w:p w:rsidR="004815C4" w:rsidRDefault="00793374" w:rsidP="00B51615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Podporu</w:t>
      </w:r>
      <w:r w:rsidR="007F2D42">
        <w:rPr>
          <w:sz w:val="24"/>
          <w:szCs w:val="24"/>
        </w:rPr>
        <w:t xml:space="preserve"> na trenérskou přípravu</w:t>
      </w:r>
      <w:r>
        <w:rPr>
          <w:sz w:val="24"/>
          <w:szCs w:val="24"/>
        </w:rPr>
        <w:t xml:space="preserve"> je možné čerpat na následujících turnajích, např.:</w:t>
      </w:r>
    </w:p>
    <w:p w:rsidR="004815C4" w:rsidRPr="00D32464" w:rsidRDefault="00210556" w:rsidP="00B51615">
      <w:pPr>
        <w:pStyle w:val="Odstavecseseznamem"/>
        <w:spacing w:before="120" w:after="120" w:line="240" w:lineRule="auto"/>
        <w:contextualSpacing w:val="0"/>
        <w:jc w:val="both"/>
        <w:rPr>
          <w:i/>
          <w:sz w:val="24"/>
          <w:szCs w:val="24"/>
        </w:rPr>
      </w:pPr>
      <w:r w:rsidRPr="00D32464">
        <w:rPr>
          <w:i/>
          <w:sz w:val="24"/>
          <w:szCs w:val="24"/>
        </w:rPr>
        <w:t>Teplice Open, Open Praha, Open České Budějovice, Open Pardubice, Open Letní Praha, Pohár města Říčany, Olomoucké šachové léto, Fide Open Staré Město, Jeseník Open, Znojemská Rotunda, Bohumí</w:t>
      </w:r>
      <w:r w:rsidR="00793374" w:rsidRPr="00D32464">
        <w:rPr>
          <w:i/>
          <w:sz w:val="24"/>
          <w:szCs w:val="24"/>
        </w:rPr>
        <w:t>n</w:t>
      </w:r>
      <w:r w:rsidRPr="00D32464">
        <w:rPr>
          <w:i/>
          <w:sz w:val="24"/>
          <w:szCs w:val="24"/>
        </w:rPr>
        <w:t xml:space="preserve"> Open, Open Vysočina</w:t>
      </w:r>
      <w:r w:rsidR="00B42A87" w:rsidRPr="00D32464">
        <w:rPr>
          <w:i/>
          <w:sz w:val="24"/>
          <w:szCs w:val="24"/>
        </w:rPr>
        <w:t xml:space="preserve"> (s kratším hracím tempem)</w:t>
      </w:r>
    </w:p>
    <w:p w:rsidR="004815C4" w:rsidRPr="00793374" w:rsidRDefault="00210556" w:rsidP="00B51615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Hráč má právo požádat o schválení turnaje mimo vypsaný seznam, </w:t>
      </w:r>
      <w:r w:rsidR="00B51615">
        <w:rPr>
          <w:sz w:val="24"/>
          <w:szCs w:val="24"/>
        </w:rPr>
        <w:t xml:space="preserve">pokud </w:t>
      </w:r>
      <w:r>
        <w:rPr>
          <w:sz w:val="24"/>
          <w:szCs w:val="24"/>
        </w:rPr>
        <w:t xml:space="preserve">splňuje kritéria bodu 2. </w:t>
      </w:r>
    </w:p>
    <w:p w:rsidR="004815C4" w:rsidRPr="00793374" w:rsidRDefault="00210556" w:rsidP="00B51615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sz w:val="24"/>
          <w:szCs w:val="24"/>
        </w:rPr>
      </w:pPr>
      <w:bookmarkStart w:id="0" w:name="_Hlk167910741"/>
      <w:r>
        <w:rPr>
          <w:sz w:val="24"/>
          <w:szCs w:val="24"/>
        </w:rPr>
        <w:t>Podpora se nemůže čerpat a kumulovat na turnajích s jinou podporou ŠCTM v</w:t>
      </w:r>
      <w:r w:rsidR="00B42A87">
        <w:rPr>
          <w:sz w:val="24"/>
          <w:szCs w:val="24"/>
        </w:rPr>
        <w:t> </w:t>
      </w:r>
      <w:r>
        <w:rPr>
          <w:sz w:val="24"/>
          <w:szCs w:val="24"/>
        </w:rPr>
        <w:t>KV</w:t>
      </w:r>
      <w:r w:rsidR="00B42A87">
        <w:rPr>
          <w:sz w:val="24"/>
          <w:szCs w:val="24"/>
        </w:rPr>
        <w:t xml:space="preserve"> a KŠSV,</w:t>
      </w:r>
      <w:r>
        <w:rPr>
          <w:sz w:val="24"/>
          <w:szCs w:val="24"/>
        </w:rPr>
        <w:t xml:space="preserve"> např. mistrovské soutěže</w:t>
      </w:r>
      <w:r w:rsidR="00C801BD">
        <w:rPr>
          <w:sz w:val="24"/>
          <w:szCs w:val="24"/>
        </w:rPr>
        <w:t xml:space="preserve"> (MS, ME, MEU)</w:t>
      </w:r>
      <w:r>
        <w:rPr>
          <w:sz w:val="24"/>
          <w:szCs w:val="24"/>
        </w:rPr>
        <w:t>.</w:t>
      </w:r>
    </w:p>
    <w:bookmarkEnd w:id="0"/>
    <w:p w:rsidR="00087D43" w:rsidRDefault="00210556" w:rsidP="00087D43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Trenérské zajištění může být i formou online (např. Skype nebo jiné platformy)</w:t>
      </w:r>
      <w:r w:rsidR="00B42A87">
        <w:rPr>
          <w:sz w:val="24"/>
          <w:szCs w:val="24"/>
        </w:rPr>
        <w:t>.</w:t>
      </w:r>
    </w:p>
    <w:p w:rsidR="00D32464" w:rsidRPr="00087D43" w:rsidRDefault="006920F2" w:rsidP="00087D43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sz w:val="24"/>
          <w:szCs w:val="24"/>
        </w:rPr>
      </w:pPr>
      <w:r w:rsidRPr="00087D43">
        <w:rPr>
          <w:b/>
          <w:bCs/>
          <w:sz w:val="24"/>
          <w:szCs w:val="24"/>
          <w:u w:val="single"/>
          <w:shd w:val="clear" w:color="auto" w:fill="FFFFFF"/>
        </w:rPr>
        <w:t>Podmínkou pro vyplacení podpory je</w:t>
      </w:r>
      <w:r w:rsidRPr="00087D43">
        <w:rPr>
          <w:b/>
          <w:bCs/>
          <w:sz w:val="24"/>
          <w:szCs w:val="24"/>
          <w:shd w:val="clear" w:color="auto" w:fill="FFFFFF"/>
        </w:rPr>
        <w:t>, že k</w:t>
      </w:r>
      <w:r w:rsidR="00D32464" w:rsidRPr="00087D43">
        <w:rPr>
          <w:b/>
          <w:bCs/>
          <w:sz w:val="24"/>
          <w:szCs w:val="24"/>
          <w:shd w:val="clear" w:color="auto" w:fill="FFFFFF"/>
        </w:rPr>
        <w:t>aždý hráč do 7 dnů po skončení turnaje ve spolupráci s trenérem napíše krátký článek, ve kterém zhodnotí své působení na letním turnaji</w:t>
      </w:r>
      <w:r w:rsidR="00B51615" w:rsidRPr="00087D43">
        <w:rPr>
          <w:b/>
          <w:bCs/>
          <w:sz w:val="24"/>
          <w:szCs w:val="24"/>
          <w:shd w:val="clear" w:color="auto" w:fill="FFFFFF"/>
        </w:rPr>
        <w:t>,</w:t>
      </w:r>
      <w:r w:rsidR="00D32464" w:rsidRPr="00087D43">
        <w:rPr>
          <w:b/>
          <w:bCs/>
          <w:sz w:val="24"/>
          <w:szCs w:val="24"/>
          <w:shd w:val="clear" w:color="auto" w:fill="FFFFFF"/>
        </w:rPr>
        <w:t xml:space="preserve"> a přidá jednu svoj</w:t>
      </w:r>
      <w:r w:rsidR="00B51615" w:rsidRPr="00087D43">
        <w:rPr>
          <w:b/>
          <w:bCs/>
          <w:sz w:val="24"/>
          <w:szCs w:val="24"/>
          <w:shd w:val="clear" w:color="auto" w:fill="FFFFFF"/>
        </w:rPr>
        <w:t>i</w:t>
      </w:r>
      <w:r w:rsidR="00D32464" w:rsidRPr="00087D43">
        <w:rPr>
          <w:b/>
          <w:bCs/>
          <w:sz w:val="24"/>
          <w:szCs w:val="24"/>
          <w:shd w:val="clear" w:color="auto" w:fill="FFFFFF"/>
        </w:rPr>
        <w:t xml:space="preserve"> okomentovanou partii.</w:t>
      </w:r>
      <w:r w:rsidRPr="00087D43">
        <w:rPr>
          <w:b/>
          <w:bCs/>
          <w:sz w:val="24"/>
          <w:szCs w:val="24"/>
          <w:shd w:val="clear" w:color="auto" w:fill="FFFFFF"/>
        </w:rPr>
        <w:t xml:space="preserve"> </w:t>
      </w:r>
      <w:bookmarkStart w:id="1" w:name="_GoBack"/>
      <w:r w:rsidR="00087D43" w:rsidRPr="00087D43">
        <w:rPr>
          <w:b/>
          <w:bCs/>
          <w:color w:val="FF0000"/>
          <w:sz w:val="24"/>
          <w:szCs w:val="24"/>
          <w:shd w:val="clear" w:color="auto" w:fill="FFFFFF"/>
        </w:rPr>
        <w:t>Pro vyhodnocení použijte formulář.</w:t>
      </w:r>
      <w:r w:rsidR="00087D43" w:rsidRPr="00087D43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bookmarkEnd w:id="1"/>
      <w:r w:rsidR="00D32464" w:rsidRPr="00087D43">
        <w:rPr>
          <w:bCs/>
          <w:sz w:val="24"/>
          <w:szCs w:val="24"/>
        </w:rPr>
        <w:t>Své hodnocení zašle na email manažer</w:t>
      </w:r>
      <w:r w:rsidRPr="00087D43">
        <w:rPr>
          <w:bCs/>
          <w:sz w:val="24"/>
          <w:szCs w:val="24"/>
        </w:rPr>
        <w:t xml:space="preserve">a: </w:t>
      </w:r>
      <w:hyperlink r:id="rId6" w:history="1">
        <w:r w:rsidRPr="00087D43">
          <w:rPr>
            <w:rStyle w:val="Hypertextovodkaz"/>
            <w:bCs/>
            <w:sz w:val="24"/>
            <w:szCs w:val="24"/>
          </w:rPr>
          <w:t>manazerkmkssv@seznam.cz</w:t>
        </w:r>
      </w:hyperlink>
      <w:r w:rsidR="00D32464" w:rsidRPr="00087D43">
        <w:rPr>
          <w:bCs/>
          <w:sz w:val="24"/>
          <w:szCs w:val="24"/>
        </w:rPr>
        <w:t xml:space="preserve"> a zároveň na e-mail </w:t>
      </w:r>
      <w:r w:rsidRPr="00087D43">
        <w:rPr>
          <w:bCs/>
          <w:sz w:val="24"/>
          <w:szCs w:val="24"/>
        </w:rPr>
        <w:t>člena Komise mládeže KŠSV</w:t>
      </w:r>
      <w:r w:rsidR="00D32464" w:rsidRPr="00087D43">
        <w:rPr>
          <w:bCs/>
          <w:sz w:val="24"/>
          <w:szCs w:val="24"/>
        </w:rPr>
        <w:t xml:space="preserve"> </w:t>
      </w:r>
      <w:hyperlink r:id="rId7">
        <w:r w:rsidR="00D32464" w:rsidRPr="00087D43">
          <w:rPr>
            <w:rStyle w:val="Internetovodkaz"/>
            <w:bCs/>
            <w:sz w:val="24"/>
            <w:szCs w:val="24"/>
          </w:rPr>
          <w:t>m.pavlis@email.cz</w:t>
        </w:r>
      </w:hyperlink>
      <w:r w:rsidRPr="00087D43">
        <w:rPr>
          <w:bCs/>
          <w:sz w:val="24"/>
          <w:szCs w:val="24"/>
        </w:rPr>
        <w:t xml:space="preserve">. </w:t>
      </w:r>
      <w:r w:rsidR="00D32464" w:rsidRPr="00087D43">
        <w:rPr>
          <w:bCs/>
          <w:sz w:val="24"/>
          <w:szCs w:val="24"/>
          <w:shd w:val="clear" w:color="auto" w:fill="FFFFFF"/>
        </w:rPr>
        <w:t>Tento článek pak bude zveřejněn na webu KŠSV.</w:t>
      </w:r>
    </w:p>
    <w:p w:rsidR="006920F2" w:rsidRDefault="00210556" w:rsidP="00B51615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Znění textu na faktuře</w:t>
      </w:r>
      <w:r w:rsidR="006920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83B91">
        <w:rPr>
          <w:i/>
          <w:sz w:val="24"/>
          <w:szCs w:val="24"/>
        </w:rPr>
        <w:t xml:space="preserve">Fakturujeme dle </w:t>
      </w:r>
      <w:r w:rsidR="006920F2" w:rsidRPr="00C83B91">
        <w:rPr>
          <w:i/>
          <w:sz w:val="24"/>
          <w:szCs w:val="24"/>
        </w:rPr>
        <w:t>projektu podpory</w:t>
      </w:r>
      <w:r w:rsidRPr="00C83B91">
        <w:rPr>
          <w:i/>
          <w:sz w:val="24"/>
          <w:szCs w:val="24"/>
        </w:rPr>
        <w:t xml:space="preserve"> na </w:t>
      </w:r>
      <w:r w:rsidR="006920F2" w:rsidRPr="00C83B91">
        <w:rPr>
          <w:i/>
          <w:sz w:val="24"/>
          <w:szCs w:val="24"/>
        </w:rPr>
        <w:t>účast na</w:t>
      </w:r>
      <w:r w:rsidRPr="00C83B91">
        <w:rPr>
          <w:i/>
          <w:sz w:val="24"/>
          <w:szCs w:val="24"/>
        </w:rPr>
        <w:t xml:space="preserve"> letních turnaj</w:t>
      </w:r>
      <w:r w:rsidR="006920F2" w:rsidRPr="00C83B91">
        <w:rPr>
          <w:i/>
          <w:sz w:val="24"/>
          <w:szCs w:val="24"/>
        </w:rPr>
        <w:t>ích</w:t>
      </w:r>
      <w:r w:rsidRPr="00C83B91">
        <w:rPr>
          <w:i/>
          <w:sz w:val="24"/>
          <w:szCs w:val="24"/>
        </w:rPr>
        <w:t xml:space="preserve"> 2024 za trenérskou přípravu: následně vypsat jména hráčů, turnaj, kterého se to týká</w:t>
      </w:r>
      <w:r w:rsidR="00B51615">
        <w:rPr>
          <w:i/>
          <w:sz w:val="24"/>
          <w:szCs w:val="24"/>
        </w:rPr>
        <w:t>,</w:t>
      </w:r>
      <w:r w:rsidRPr="00C83B91">
        <w:rPr>
          <w:i/>
          <w:sz w:val="24"/>
          <w:szCs w:val="24"/>
        </w:rPr>
        <w:t xml:space="preserve"> a částku dle projektu. Jednotlivě rozepsat + celková částka.</w:t>
      </w:r>
    </w:p>
    <w:p w:rsidR="006920F2" w:rsidRPr="006920F2" w:rsidRDefault="00210556" w:rsidP="00B51615">
      <w:pPr>
        <w:pStyle w:val="Odstavecseseznamem"/>
        <w:numPr>
          <w:ilvl w:val="0"/>
          <w:numId w:val="4"/>
        </w:numPr>
        <w:spacing w:before="120" w:after="120" w:line="240" w:lineRule="auto"/>
        <w:ind w:hanging="357"/>
        <w:contextualSpacing w:val="0"/>
        <w:jc w:val="both"/>
        <w:rPr>
          <w:b/>
          <w:sz w:val="24"/>
          <w:szCs w:val="24"/>
          <w:u w:val="single"/>
        </w:rPr>
      </w:pPr>
      <w:r w:rsidRPr="006920F2">
        <w:rPr>
          <w:b/>
          <w:sz w:val="24"/>
          <w:szCs w:val="24"/>
          <w:u w:val="single"/>
        </w:rPr>
        <w:t>Výše podpory</w:t>
      </w:r>
      <w:r w:rsidR="007F2D42">
        <w:rPr>
          <w:b/>
          <w:sz w:val="24"/>
          <w:szCs w:val="24"/>
          <w:u w:val="single"/>
        </w:rPr>
        <w:t xml:space="preserve"> na trenérskou přípravu</w:t>
      </w:r>
      <w:r w:rsidRPr="006920F2">
        <w:rPr>
          <w:b/>
          <w:sz w:val="24"/>
          <w:szCs w:val="24"/>
          <w:u w:val="single"/>
        </w:rPr>
        <w:t>:</w:t>
      </w:r>
    </w:p>
    <w:p w:rsidR="006920F2" w:rsidRDefault="006920F2" w:rsidP="00B5161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10556" w:rsidRPr="006920F2">
        <w:rPr>
          <w:sz w:val="24"/>
          <w:szCs w:val="24"/>
        </w:rPr>
        <w:t xml:space="preserve">Všichni hráči z LT </w:t>
      </w:r>
      <w:r>
        <w:rPr>
          <w:sz w:val="24"/>
          <w:szCs w:val="24"/>
        </w:rPr>
        <w:t xml:space="preserve">KŠSV </w:t>
      </w:r>
      <w:r w:rsidR="00210556" w:rsidRPr="006920F2">
        <w:rPr>
          <w:sz w:val="24"/>
          <w:szCs w:val="24"/>
        </w:rPr>
        <w:t xml:space="preserve">skupina </w:t>
      </w:r>
      <w:r w:rsidR="00210556" w:rsidRPr="006920F2">
        <w:rPr>
          <w:b/>
          <w:sz w:val="24"/>
          <w:szCs w:val="24"/>
        </w:rPr>
        <w:t>A</w:t>
      </w:r>
      <w:r w:rsidR="00C83B91">
        <w:rPr>
          <w:b/>
          <w:sz w:val="24"/>
          <w:szCs w:val="24"/>
        </w:rPr>
        <w:t xml:space="preserve"> </w:t>
      </w:r>
      <w:proofErr w:type="spellStart"/>
      <w:r w:rsidR="00C83B91" w:rsidRPr="00C83B91">
        <w:rPr>
          <w:sz w:val="24"/>
          <w:szCs w:val="24"/>
        </w:rPr>
        <w:t>a</w:t>
      </w:r>
      <w:proofErr w:type="spellEnd"/>
      <w:r w:rsidR="00C83B91">
        <w:rPr>
          <w:b/>
          <w:sz w:val="24"/>
          <w:szCs w:val="24"/>
        </w:rPr>
        <w:t xml:space="preserve"> J</w:t>
      </w:r>
      <w:r w:rsidR="00210556" w:rsidRPr="006920F2">
        <w:rPr>
          <w:sz w:val="24"/>
          <w:szCs w:val="24"/>
        </w:rPr>
        <w:t xml:space="preserve"> mají nárok na podporu ve výši </w:t>
      </w:r>
      <w:r w:rsidR="00210556" w:rsidRPr="006920F2">
        <w:rPr>
          <w:b/>
          <w:sz w:val="24"/>
          <w:szCs w:val="24"/>
        </w:rPr>
        <w:t>1</w:t>
      </w:r>
      <w:r w:rsidR="009243BD">
        <w:rPr>
          <w:b/>
          <w:sz w:val="24"/>
          <w:szCs w:val="24"/>
        </w:rPr>
        <w:t>0</w:t>
      </w:r>
      <w:r w:rsidR="00210556" w:rsidRPr="006920F2">
        <w:rPr>
          <w:b/>
          <w:sz w:val="24"/>
          <w:szCs w:val="24"/>
        </w:rPr>
        <w:t>00,-</w:t>
      </w:r>
      <w:r w:rsidR="00210556" w:rsidRPr="006920F2">
        <w:rPr>
          <w:sz w:val="24"/>
          <w:szCs w:val="24"/>
        </w:rPr>
        <w:t xml:space="preserve"> na jeden letní turnaj.</w:t>
      </w:r>
    </w:p>
    <w:p w:rsidR="006920F2" w:rsidRDefault="006920F2" w:rsidP="00B5161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10556" w:rsidRPr="006920F2">
        <w:rPr>
          <w:sz w:val="24"/>
          <w:szCs w:val="24"/>
        </w:rPr>
        <w:t xml:space="preserve">Všichni hráči z LT </w:t>
      </w:r>
      <w:r>
        <w:rPr>
          <w:sz w:val="24"/>
          <w:szCs w:val="24"/>
        </w:rPr>
        <w:t xml:space="preserve">KŠSV </w:t>
      </w:r>
      <w:r w:rsidR="00210556" w:rsidRPr="006920F2">
        <w:rPr>
          <w:sz w:val="24"/>
          <w:szCs w:val="24"/>
        </w:rPr>
        <w:t xml:space="preserve">skupiny </w:t>
      </w:r>
      <w:r w:rsidR="00210556" w:rsidRPr="00C83B91">
        <w:rPr>
          <w:b/>
          <w:sz w:val="24"/>
          <w:szCs w:val="24"/>
        </w:rPr>
        <w:t>B</w:t>
      </w:r>
      <w:r w:rsidR="00210556" w:rsidRPr="006920F2">
        <w:rPr>
          <w:sz w:val="24"/>
          <w:szCs w:val="24"/>
        </w:rPr>
        <w:t xml:space="preserve"> mají nárok na podporu ve výši </w:t>
      </w:r>
      <w:r w:rsidR="009243BD">
        <w:rPr>
          <w:b/>
          <w:sz w:val="24"/>
          <w:szCs w:val="24"/>
        </w:rPr>
        <w:t>8</w:t>
      </w:r>
      <w:r w:rsidR="00210556" w:rsidRPr="00C83B91">
        <w:rPr>
          <w:b/>
          <w:sz w:val="24"/>
          <w:szCs w:val="24"/>
        </w:rPr>
        <w:t>00,-</w:t>
      </w:r>
      <w:r w:rsidR="00210556" w:rsidRPr="006920F2">
        <w:rPr>
          <w:sz w:val="24"/>
          <w:szCs w:val="24"/>
        </w:rPr>
        <w:t xml:space="preserve"> na jeden letní turnaj.</w:t>
      </w:r>
    </w:p>
    <w:p w:rsidR="004815C4" w:rsidRPr="006920F2" w:rsidRDefault="006920F2" w:rsidP="00B5161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210556" w:rsidRPr="006920F2">
        <w:rPr>
          <w:sz w:val="24"/>
          <w:szCs w:val="24"/>
        </w:rPr>
        <w:t xml:space="preserve">Všichni hráči z LT </w:t>
      </w:r>
      <w:r>
        <w:rPr>
          <w:sz w:val="24"/>
          <w:szCs w:val="24"/>
        </w:rPr>
        <w:t xml:space="preserve">KSŠV </w:t>
      </w:r>
      <w:r w:rsidR="00210556" w:rsidRPr="006920F2">
        <w:rPr>
          <w:sz w:val="24"/>
          <w:szCs w:val="24"/>
        </w:rPr>
        <w:t xml:space="preserve">skupiny </w:t>
      </w:r>
      <w:r w:rsidR="00210556" w:rsidRPr="00C83B91">
        <w:rPr>
          <w:b/>
          <w:sz w:val="24"/>
          <w:szCs w:val="24"/>
        </w:rPr>
        <w:t>C</w:t>
      </w:r>
      <w:r w:rsidR="00210556" w:rsidRPr="006920F2">
        <w:rPr>
          <w:sz w:val="24"/>
          <w:szCs w:val="24"/>
        </w:rPr>
        <w:t xml:space="preserve"> a </w:t>
      </w:r>
      <w:r w:rsidR="00210556" w:rsidRPr="00C83B91">
        <w:rPr>
          <w:b/>
          <w:sz w:val="24"/>
          <w:szCs w:val="24"/>
        </w:rPr>
        <w:t>D</w:t>
      </w:r>
      <w:r w:rsidR="00210556" w:rsidRPr="006920F2">
        <w:rPr>
          <w:sz w:val="24"/>
          <w:szCs w:val="24"/>
        </w:rPr>
        <w:t xml:space="preserve"> mají nárok na podporu ve výši </w:t>
      </w:r>
      <w:r w:rsidR="009243BD">
        <w:rPr>
          <w:b/>
          <w:sz w:val="24"/>
          <w:szCs w:val="24"/>
        </w:rPr>
        <w:t>6</w:t>
      </w:r>
      <w:r w:rsidR="00210556" w:rsidRPr="00C83B91">
        <w:rPr>
          <w:b/>
          <w:sz w:val="24"/>
          <w:szCs w:val="24"/>
        </w:rPr>
        <w:t>00,-</w:t>
      </w:r>
      <w:r w:rsidR="00210556" w:rsidRPr="006920F2">
        <w:rPr>
          <w:sz w:val="24"/>
          <w:szCs w:val="24"/>
        </w:rPr>
        <w:t xml:space="preserve"> na jeden turnaj.</w:t>
      </w:r>
    </w:p>
    <w:p w:rsidR="004815C4" w:rsidRDefault="004815C4" w:rsidP="00B51615">
      <w:pPr>
        <w:pStyle w:val="Odstavecseseznamem"/>
        <w:spacing w:after="120" w:line="240" w:lineRule="auto"/>
        <w:jc w:val="both"/>
        <w:rPr>
          <w:b/>
          <w:bCs/>
        </w:rPr>
      </w:pPr>
    </w:p>
    <w:p w:rsidR="004815C4" w:rsidRDefault="004815C4" w:rsidP="00793374">
      <w:pPr>
        <w:pStyle w:val="Odstavecseseznamem"/>
        <w:spacing w:after="120" w:line="240" w:lineRule="auto"/>
        <w:jc w:val="both"/>
        <w:rPr>
          <w:b/>
          <w:bCs/>
        </w:rPr>
      </w:pPr>
    </w:p>
    <w:p w:rsidR="004815C4" w:rsidRPr="00C83B91" w:rsidRDefault="00C83B91" w:rsidP="00C83B9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Jihlavě dne 1</w:t>
      </w:r>
      <w:r w:rsidR="00A64B75">
        <w:rPr>
          <w:sz w:val="24"/>
          <w:szCs w:val="24"/>
        </w:rPr>
        <w:t>0</w:t>
      </w:r>
      <w:r>
        <w:rPr>
          <w:sz w:val="24"/>
          <w:szCs w:val="24"/>
        </w:rPr>
        <w:t>. června 2024</w:t>
      </w:r>
      <w:r w:rsidR="00B51615">
        <w:rPr>
          <w:sz w:val="24"/>
          <w:szCs w:val="24"/>
        </w:rPr>
        <w:tab/>
      </w:r>
      <w:r w:rsidR="00B51615">
        <w:rPr>
          <w:sz w:val="24"/>
          <w:szCs w:val="24"/>
        </w:rPr>
        <w:tab/>
      </w:r>
      <w:r w:rsidR="00B51615">
        <w:rPr>
          <w:sz w:val="24"/>
          <w:szCs w:val="24"/>
        </w:rPr>
        <w:tab/>
      </w:r>
      <w:r w:rsidR="00B51615">
        <w:rPr>
          <w:sz w:val="24"/>
          <w:szCs w:val="24"/>
        </w:rPr>
        <w:tab/>
      </w:r>
      <w:r w:rsidR="00B51615">
        <w:rPr>
          <w:sz w:val="24"/>
          <w:szCs w:val="24"/>
        </w:rPr>
        <w:tab/>
      </w:r>
      <w:r w:rsidR="00B51615">
        <w:rPr>
          <w:sz w:val="24"/>
          <w:szCs w:val="24"/>
        </w:rPr>
        <w:tab/>
      </w:r>
      <w:r w:rsidR="00B51615">
        <w:rPr>
          <w:sz w:val="24"/>
          <w:szCs w:val="24"/>
        </w:rPr>
        <w:tab/>
        <w:t xml:space="preserve">Mgr. </w:t>
      </w:r>
      <w:r w:rsidR="00210556" w:rsidRPr="00C83B91">
        <w:rPr>
          <w:sz w:val="24"/>
          <w:szCs w:val="24"/>
        </w:rPr>
        <w:t xml:space="preserve">Jana Rybáčková,                               </w:t>
      </w:r>
    </w:p>
    <w:p w:rsidR="004815C4" w:rsidRDefault="00210556" w:rsidP="00793374">
      <w:pPr>
        <w:pStyle w:val="Odstavecseseznamem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51615">
        <w:rPr>
          <w:sz w:val="24"/>
          <w:szCs w:val="24"/>
        </w:rPr>
        <w:tab/>
      </w:r>
      <w:r w:rsidR="00B51615">
        <w:rPr>
          <w:sz w:val="24"/>
          <w:szCs w:val="24"/>
        </w:rPr>
        <w:tab/>
      </w:r>
      <w:r>
        <w:rPr>
          <w:sz w:val="24"/>
          <w:szCs w:val="24"/>
        </w:rPr>
        <w:t>manažerka ŠCTM v KV</w:t>
      </w:r>
    </w:p>
    <w:sectPr w:rsidR="004815C4" w:rsidSect="00793374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65C1"/>
    <w:multiLevelType w:val="multilevel"/>
    <w:tmpl w:val="BDFAB7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8A69AE"/>
    <w:multiLevelType w:val="multilevel"/>
    <w:tmpl w:val="E618D4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10519A"/>
    <w:multiLevelType w:val="hybridMultilevel"/>
    <w:tmpl w:val="AC78F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5DC7"/>
    <w:multiLevelType w:val="multilevel"/>
    <w:tmpl w:val="DC122A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C60EB4"/>
    <w:multiLevelType w:val="multilevel"/>
    <w:tmpl w:val="9780A7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C4"/>
    <w:rsid w:val="00087D43"/>
    <w:rsid w:val="00210556"/>
    <w:rsid w:val="00232C95"/>
    <w:rsid w:val="004815C4"/>
    <w:rsid w:val="006920F2"/>
    <w:rsid w:val="00793374"/>
    <w:rsid w:val="007D20A6"/>
    <w:rsid w:val="007F2D42"/>
    <w:rsid w:val="008B50CA"/>
    <w:rsid w:val="008F5087"/>
    <w:rsid w:val="009243BD"/>
    <w:rsid w:val="00A64B75"/>
    <w:rsid w:val="00B42A87"/>
    <w:rsid w:val="00B51615"/>
    <w:rsid w:val="00C214E0"/>
    <w:rsid w:val="00C801BD"/>
    <w:rsid w:val="00C83B91"/>
    <w:rsid w:val="00D3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D821"/>
  <w15:docId w15:val="{6986A123-CA08-413A-9AB7-D663C4E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656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20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pavlis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zerkmkssv@seznam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Zezula</dc:creator>
  <dc:description/>
  <cp:lastModifiedBy>Mgr. Rybáčková Jana</cp:lastModifiedBy>
  <cp:revision>10</cp:revision>
  <dcterms:created xsi:type="dcterms:W3CDTF">2024-05-29T19:01:00Z</dcterms:created>
  <dcterms:modified xsi:type="dcterms:W3CDTF">2024-06-11T03:59:00Z</dcterms:modified>
  <dc:language>cs-CZ</dc:language>
</cp:coreProperties>
</file>